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3"/>
        <w:jc w:val="center"/>
        <w:outlineLvl w:val="0"/>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pacing w:val="-17"/>
          <w:kern w:val="30"/>
          <w:sz w:val="18"/>
          <w:szCs w:val="18"/>
        </w:rPr>
        <w:t>广州银行红棉添盈均衡18个月定开6号理财产品（TYJH1806A）2025年二季度运作报告</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一、理财产品基本信息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产品名称</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广州银行红棉添盈均衡18个月定开6号理财产品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产品代码</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TYJH1806A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银行业理财信息登记系统登记编码</w:t>
            </w:r>
          </w:p>
        </w:tc>
        <w:tc>
          <w:tcPr>
            <w:tcW w:w="6197" w:type="dxa"/>
            <w:vAlign w:val="center"/>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C1082721000109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产品运作方式</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产品收益类型</w:t>
            </w:r>
          </w:p>
        </w:tc>
        <w:tc>
          <w:tcPr>
            <w:tcW w:w="6197" w:type="dxa"/>
          </w:tcPr>
          <w:p>
            <w:pPr>
              <w:ind w:firstLine="0" w:firstLineChars="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产品类型</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发行方式</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产品成立日</w:t>
            </w:r>
          </w:p>
        </w:tc>
        <w:tc>
          <w:tcPr>
            <w:tcW w:w="6197" w:type="dxa"/>
            <w:vAlign w:val="center"/>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2021年07月01日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产品管理人</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广州银行股份有限公司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产品托管人</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招商银行股份有限公司</w:t>
            </w:r>
          </w:p>
        </w:tc>
      </w:tr>
    </w:tbl>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二、宏观市场分析及产品运作回顾</w:t>
      </w:r>
    </w:p>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（一）宏观市场分析</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债券市场方面：</w:t>
      </w:r>
      <w:r>
        <w:rPr>
          <w:rFonts w:hint="default" w:ascii="Times New Roman" w:hAnsi="Times New Roman" w:eastAsia="宋体" w:cs="Times New Roman"/>
          <w:sz w:val="18"/>
          <w:szCs w:val="18"/>
        </w:rPr>
        <w:t>二季度，债市整体处于顺风的环境。2025年5月7日，一揽子金融政策出台，数量工具方面，降准50bp落地；价格工具方面，公开市场操作7天期逆回购利率下调10bp，银行间资金面维持宽松的状态；内需基本面好转幅度偏弱，外需仍面临关税战的不确定性。展望后市，经济向高质量发展阶段转型的过程中，金融总量增速可能有所下降。金融体系的资金仍面临寻找优质资产的问题，具备票息价值的信用债仍然存在利差压缩的空间。在国外即将面临美联储的降息周期，国内广谱利率下行、有效需求不足的影响下，固收资产需求的持续性与货币宽松预期或将成为下半年的主要演绎逻辑。</w:t>
      </w:r>
    </w:p>
    <w:p>
      <w:pPr>
        <w:spacing w:before="120" w:after="120" w:line="360" w:lineRule="exact"/>
        <w:ind w:firstLine="360"/>
        <w:rPr>
          <w:rFonts w:hint="default" w:ascii="Times New Roman" w:hAnsi="Times New Roman" w:eastAsia="宋体" w:cs="Times New Roman"/>
          <w:sz w:val="18"/>
          <w:szCs w:val="18"/>
        </w:rPr>
      </w:pPr>
      <w:bookmarkStart w:id="0" w:name="_GoBack"/>
      <w:r>
        <w:rPr>
          <w:rFonts w:hint="default" w:ascii="Times New Roman" w:hAnsi="Times New Roman" w:eastAsia="宋体" w:cs="Times New Roman"/>
          <w:b/>
          <w:bCs/>
          <w:sz w:val="18"/>
          <w:szCs w:val="18"/>
        </w:rPr>
        <w:t>权益市场方面：</w:t>
      </w:r>
      <w:bookmarkEnd w:id="0"/>
      <w:r>
        <w:rPr>
          <w:rFonts w:hint="default" w:ascii="Times New Roman" w:hAnsi="Times New Roman" w:eastAsia="宋体" w:cs="Times New Roman"/>
          <w:sz w:val="18"/>
          <w:szCs w:val="18"/>
        </w:rPr>
        <w:t>二季度，A股与港股市场呈现震荡上行的走势。季度初，受美国关税事件影响，出现单日大幅回撤；随后，在政策和市场多方呵护下，股指企稳并稳步上行。二季度，上证指数上涨3.26%，深证成指微跌0.37%，中证2000指数季度涨幅高达7.62%，小盘股仍然占优。行业方面，受地缘局势紧张、装备升级需求及政策支持推动，国防军工表现亮眼；创新药板块得益于药企出海超预期，同样表现突出；上市银行在存款利率下调、信贷扩张，叠加险资增持高股息资产等利多因素影响下，录得双位数涨幅。整体来看，二季度A股在多方呵护下走出了企稳修复的行情。展望后市，市场较为关注后续经济刺激政策的力度，美国关税政策也有一定的不确定性。</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三季度，我行将继续密切关注资金面变化、基本面修复、政策变动及外部市场冲击等扰动因素，积极把握市场调整中可能出现的交易和配置机会，灵活调整产品的配置策略、久期和杠杆，抓住波段机会，顺势而为。</w:t>
      </w:r>
    </w:p>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（二）产品运作回顾</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产品为均衡型“固收+”策略产品，至少投资80%（含）以上的固定收益类资产，在资产配置中突出绝对收益特征，风险评级为中低风险。本产品固收类资产主要投资于高等级信用债及债权类项目，权益类投资主要根据市场情况动态调整，通过久期策略、杠杆策略、信用策略、股票多头策略、市场中性策略等方式增厚产品收益。二季度权益市场整体先跌后涨。季度初，受美国关税政策的冲击，出现了单日大幅下跌的冲击，我行分析判断出现了超跌机会，择机进行了一定的波段交易。随后市场逐步平稳修复，我行坚定看好权益市场的潜力，在港股红利类资产和科技类资产方面进行了小幅超配，取得了较好的收益。展望下阶段，我行认为在低利率环境下，权益资产的性价比仍较为可观，权益市场向下有底，产品将根据市场变化适时调整权益资产的配置比例。未来，我行将继续根据市场情况，灵活调整资产配置策略。风险控制方面，我行实时跟踪信用主体状况、市场利率走势以及权益市场的趋势，确保本产品稳健运行。</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三、产品表现</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（一）业绩表现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报告日</w:t>
            </w:r>
          </w:p>
        </w:tc>
        <w:tc>
          <w:tcPr>
            <w:tcW w:w="6197"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存续规模（份额）</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49,401,949.29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份额单位净值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份额累计净值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期末资产净值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51,773,049.98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成立以来年化收益率（%）</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3.07</w:t>
            </w:r>
          </w:p>
        </w:tc>
      </w:tr>
    </w:tbl>
    <w:p>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注：报告期末本产品杠杆率为</w:t>
      </w:r>
      <w:r>
        <w:rPr>
          <w:rFonts w:hint="default" w:ascii="Times New Roman" w:hAnsi="Times New Roman" w:eastAsia="宋体" w:cs="Times New Roman"/>
          <w:sz w:val="18"/>
          <w:szCs w:val="18"/>
          <w:lang w:val="en-US" w:eastAsia="zh-CN"/>
        </w:rPr>
        <w:t>100.15</w:t>
      </w:r>
      <w:r>
        <w:rPr>
          <w:rFonts w:hint="default" w:ascii="Times New Roman" w:hAnsi="Times New Roman" w:eastAsia="宋体" w:cs="Times New Roman"/>
          <w:sz w:val="18"/>
          <w:szCs w:val="18"/>
        </w:rPr>
        <w:t>%</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（二）产品投资资产种类</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截止2025年6月末，本产品的投资状况如下：</w:t>
      </w:r>
    </w:p>
    <w:tbl>
      <w:tblPr>
        <w:tblStyle w:val="4"/>
        <w:tblW w:w="8519" w:type="dxa"/>
        <w:jc w:val="center"/>
        <w:tblLayout w:type="fixed"/>
        <w:tblCellMar>
          <w:top w:w="0" w:type="dxa"/>
          <w:left w:w="0" w:type="dxa"/>
          <w:bottom w:w="0" w:type="dxa"/>
          <w:right w:w="0" w:type="dxa"/>
        </w:tblCellMar>
      </w:tblPr>
      <w:tblGrid>
        <w:gridCol w:w="1024"/>
        <w:gridCol w:w="1556"/>
        <w:gridCol w:w="1482"/>
        <w:gridCol w:w="1482"/>
        <w:gridCol w:w="1482"/>
        <w:gridCol w:w="1493"/>
      </w:tblGrid>
      <w:tr>
        <w:tblPrEx>
          <w:tblCellMar>
            <w:top w:w="0" w:type="dxa"/>
            <w:left w:w="0" w:type="dxa"/>
            <w:bottom w:w="0" w:type="dxa"/>
            <w:right w:w="0" w:type="dxa"/>
          </w:tblCellMar>
        </w:tblPrEx>
        <w:trPr>
          <w:trHeight w:val="6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序号</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资产品种</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穿透前资产金额</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穿透后资产金额</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r>
      <w:tr>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1</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固定收益类资产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2,701.11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52.09%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4,956.94</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95.60%</w:t>
            </w:r>
          </w:p>
        </w:tc>
      </w:tr>
      <w:tr>
        <w:tblPrEx>
          <w:tblCellMar>
            <w:top w:w="0" w:type="dxa"/>
            <w:left w:w="0" w:type="dxa"/>
            <w:bottom w:w="0" w:type="dxa"/>
            <w:right w:w="0" w:type="dxa"/>
          </w:tblCellMar>
        </w:tblPrEx>
        <w:trPr>
          <w:trHeight w:val="3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其中：债券</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2,680.53</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51.70%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2,680.53</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51.70%</w:t>
            </w:r>
          </w:p>
        </w:tc>
      </w:tr>
      <w:tr>
        <w:tblPrEx>
          <w:tblCellMar>
            <w:top w:w="0" w:type="dxa"/>
            <w:left w:w="0" w:type="dxa"/>
            <w:bottom w:w="0" w:type="dxa"/>
            <w:right w:w="0" w:type="dxa"/>
          </w:tblCellMar>
        </w:tblPrEx>
        <w:trPr>
          <w:trHeight w:val="29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存款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20.58</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0.40%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20.58</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0.40%</w:t>
            </w:r>
          </w:p>
        </w:tc>
      </w:tr>
      <w:tr>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其他债权类资产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2,255.83</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43.51%</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2</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买入返售金融资产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3</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公募基金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228.12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4.40%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228.12</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4.40%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4</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权益类资产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其中：股票</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其他股权类资产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5</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b/>
                <w:bCs/>
                <w:color w:val="000000"/>
                <w:kern w:val="0"/>
                <w:sz w:val="18"/>
                <w:szCs w:val="18"/>
                <w:lang w:bidi="ar"/>
              </w:rPr>
              <w:t>资产管理产品</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2,255.83</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43.51%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r>
    </w:tbl>
    <w:p>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注：占比结果保留两位小数，可能存在尾差。</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（三）前十大资产持仓情况</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截止2025年6月末，本产品的前十大资产持仓情况如下：</w:t>
      </w:r>
    </w:p>
    <w:tbl>
      <w:tblPr>
        <w:tblStyle w:val="4"/>
        <w:tblW w:w="8160" w:type="dxa"/>
        <w:jc w:val="center"/>
        <w:tblLayout w:type="fixed"/>
        <w:tblCellMar>
          <w:top w:w="15" w:type="dxa"/>
          <w:left w:w="15" w:type="dxa"/>
          <w:bottom w:w="15" w:type="dxa"/>
          <w:right w:w="15" w:type="dxa"/>
        </w:tblCellMar>
      </w:tblPr>
      <w:tblGrid>
        <w:gridCol w:w="1064"/>
        <w:gridCol w:w="3309"/>
        <w:gridCol w:w="1980"/>
        <w:gridCol w:w="1807"/>
      </w:tblGrid>
      <w:tr>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330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资产名称</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80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占比</w:t>
            </w:r>
          </w:p>
        </w:tc>
      </w:tr>
      <w:tr>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中原信托-平安融盈A2403</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2,255.83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43.57%</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25电白01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453.73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8.76%</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23禅城01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415.93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8.03%</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23怡亚02</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317.52</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6.13%</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22吴发G4</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306.94</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5.93%</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21河公01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291.79</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5.64%</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22清万B</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203.00</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3.92%</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20中金12</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153.66</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2.97%</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20国开05</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107.27</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2.07%</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22江开06</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102.32</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1.98%</w:t>
            </w:r>
          </w:p>
        </w:tc>
      </w:tr>
    </w:tbl>
    <w:p>
      <w:pPr>
        <w:pStyle w:val="7"/>
        <w:spacing w:line="360" w:lineRule="exact"/>
        <w:ind w:left="0" w:leftChars="0"/>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注：占比结果保留两位小数，可能存在尾差。</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四</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非标资产明细</w:t>
      </w:r>
    </w:p>
    <w:tbl>
      <w:tblPr>
        <w:tblStyle w:val="4"/>
        <w:tblW w:w="9225" w:type="dxa"/>
        <w:jc w:val="center"/>
        <w:tblLayout w:type="fixed"/>
        <w:tblCellMar>
          <w:top w:w="15" w:type="dxa"/>
          <w:left w:w="15" w:type="dxa"/>
          <w:bottom w:w="15" w:type="dxa"/>
          <w:right w:w="15" w:type="dxa"/>
        </w:tblCellMar>
      </w:tblPr>
      <w:tblGrid>
        <w:gridCol w:w="507"/>
        <w:gridCol w:w="1425"/>
        <w:gridCol w:w="2520"/>
        <w:gridCol w:w="1503"/>
        <w:gridCol w:w="1080"/>
        <w:gridCol w:w="1110"/>
        <w:gridCol w:w="1080"/>
      </w:tblGrid>
      <w:tr>
        <w:tblPrEx>
          <w:tblCellMar>
            <w:top w:w="15" w:type="dxa"/>
            <w:left w:w="15" w:type="dxa"/>
            <w:bottom w:w="15" w:type="dxa"/>
            <w:right w:w="15" w:type="dxa"/>
          </w:tblCellMar>
        </w:tblPrEx>
        <w:trPr>
          <w:trHeight w:val="525" w:hRule="atLeast"/>
          <w:jc w:val="center"/>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项目名称</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融资客户名称</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交易结构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收益率（%)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剩余期限（月）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风险情况</w:t>
            </w:r>
          </w:p>
        </w:tc>
      </w:tr>
      <w:tr>
        <w:tblPrEx>
          <w:tblCellMar>
            <w:top w:w="15" w:type="dxa"/>
            <w:left w:w="15" w:type="dxa"/>
            <w:bottom w:w="15" w:type="dxa"/>
            <w:right w:w="15" w:type="dxa"/>
          </w:tblCellMar>
        </w:tblPrEx>
        <w:trPr>
          <w:trHeight w:val="367" w:hRule="atLeast"/>
          <w:jc w:val="center"/>
        </w:trPr>
        <w:tc>
          <w:tcPr>
            <w:tcW w:w="507"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中原信托-平安融盈A2403</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平安证券股份有限公司</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信托产品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正常</w:t>
            </w:r>
          </w:p>
        </w:tc>
      </w:tr>
    </w:tbl>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五</w:t>
      </w:r>
      <w:r>
        <w:rPr>
          <w:rFonts w:hint="default" w:ascii="Times New Roman" w:hAnsi="Times New Roman" w:eastAsia="宋体" w:cs="Times New Roman"/>
          <w:sz w:val="18"/>
          <w:szCs w:val="18"/>
        </w:rPr>
        <w:t>）报告期内关联交易情况</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1.本产品在报告期内全部关联交易均按照公允价格开展，产品持有关联方发行或承销的证券情况如下：</w:t>
      </w:r>
    </w:p>
    <w:tbl>
      <w:tblPr>
        <w:tblStyle w:val="9"/>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22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证券简称</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证券类别</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持有数量(份)</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22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关联方名称</w:t>
            </w:r>
          </w:p>
        </w:tc>
        <w:tc>
          <w:tcPr>
            <w:tcW w:w="117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关联方角色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无</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bidi="ar"/>
              </w:rPr>
            </w:pPr>
            <w:r>
              <w:rPr>
                <w:rFonts w:hint="default" w:ascii="Times New Roman" w:hAnsi="Times New Roman" w:eastAsia="宋体" w:cs="Times New Roman"/>
                <w:color w:val="000000"/>
                <w:kern w:val="0"/>
                <w:sz w:val="18"/>
                <w:szCs w:val="18"/>
                <w:lang w:val="en-US" w:eastAsia="zh-CN" w:bidi="ar"/>
              </w:rPr>
              <w:t>-</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w:t>
            </w:r>
          </w:p>
        </w:tc>
        <w:tc>
          <w:tcPr>
            <w:tcW w:w="122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w:t>
            </w:r>
          </w:p>
        </w:tc>
        <w:tc>
          <w:tcPr>
            <w:tcW w:w="117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r>
    </w:tbl>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2.其他重大关联交易</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无</w:t>
      </w:r>
      <w:r>
        <w:rPr>
          <w:rFonts w:hint="default" w:ascii="Times New Roman" w:hAnsi="Times New Roman" w:eastAsia="宋体" w:cs="Times New Roman"/>
          <w:color w:val="000000"/>
          <w:sz w:val="18"/>
          <w:szCs w:val="18"/>
        </w:rPr>
        <w:t>。</w:t>
      </w:r>
    </w:p>
    <w:p>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六</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投资账户信息</w:t>
      </w:r>
    </w:p>
    <w:tbl>
      <w:tblPr>
        <w:tblStyle w:val="4"/>
        <w:tblW w:w="9852" w:type="dxa"/>
        <w:jc w:val="center"/>
        <w:tblLayout w:type="fixed"/>
        <w:tblCellMar>
          <w:top w:w="15" w:type="dxa"/>
          <w:left w:w="15" w:type="dxa"/>
          <w:bottom w:w="15" w:type="dxa"/>
          <w:right w:w="15" w:type="dxa"/>
        </w:tblCellMar>
      </w:tblPr>
      <w:tblGrid>
        <w:gridCol w:w="1064"/>
        <w:gridCol w:w="1504"/>
        <w:gridCol w:w="2416"/>
        <w:gridCol w:w="3250"/>
        <w:gridCol w:w="1618"/>
      </w:tblGrid>
      <w:tr>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序号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账户类型</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账户编号</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账户名称</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开户单位</w:t>
            </w:r>
          </w:p>
        </w:tc>
      </w:tr>
      <w:tr>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sz w:val="18"/>
                <w:szCs w:val="18"/>
                <w:highlight w:val="none"/>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托管账户</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120906152510419</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广州银行股份有限公司红棉添盈均衡18个月定开6号理财产品</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招商银行广州分行营业部</w:t>
            </w:r>
          </w:p>
        </w:tc>
      </w:tr>
    </w:tbl>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（七）产品流动性风险分析</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本产品流动性风险整体可控。我行根据产品产品存续期限，利用长、短久期资产进行产品配置，视市场行情动态调整产品仓位，有效降低了流动性风险。</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本产品运作至今，运作平稳。我行承诺以诚实信用、勤勉尽责的原则管理和运用本产品资产，但不保证产品一定盈利。本产品的过往业绩并不代表其未来表现。投资有风险，敬请投资者留意本产品公告。</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感谢您一直以来对广州银行的支持！</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广州银行股份有限公司</w:t>
      </w: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w:t>
      </w:r>
      <w:r>
        <w:rPr>
          <w:rFonts w:hint="default"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rPr>
        <w:t>月</w:t>
      </w:r>
      <w:r>
        <w:rPr>
          <w:rFonts w:hint="default" w:ascii="Times New Roman" w:hAnsi="Times New Roman" w:eastAsia="宋体" w:cs="Times New Roman"/>
          <w:sz w:val="18"/>
          <w:szCs w:val="18"/>
          <w:lang w:val="en-US" w:eastAsia="zh-CN"/>
        </w:rPr>
        <w:t>21</w:t>
      </w:r>
      <w:r>
        <w:rPr>
          <w:rFonts w:hint="default" w:ascii="Times New Roman" w:hAnsi="Times New Roman" w:eastAsia="宋体" w:cs="Times New Roman"/>
          <w:sz w:val="18"/>
          <w:szCs w:val="18"/>
        </w:rPr>
        <w:t>日</w:t>
      </w:r>
    </w:p>
    <w:p>
      <w:pPr>
        <w:ind w:firstLine="360"/>
        <w:rPr>
          <w:rFonts w:hint="default" w:ascii="Times New Roman" w:hAnsi="Times New Roman" w:eastAsia="宋体" w:cs="Times New Roman"/>
          <w:sz w:val="18"/>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360"/>
      </w:pPr>
      <w:r>
        <w:separator/>
      </w:r>
    </w:p>
  </w:footnote>
  <w:footnote w:type="continuationSeparator" w:id="1">
    <w:p>
      <w:pPr>
        <w:spacing w:line="300" w:lineRule="auto"/>
        <w:ind w:firstLine="3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YjU4ZjJjY2EzMDM5Zjk5ZGJkMmY4NDliOGM5MmYifQ=="/>
  </w:docVars>
  <w:rsids>
    <w:rsidRoot w:val="00D853AD"/>
    <w:rsid w:val="0011459B"/>
    <w:rsid w:val="00546C1F"/>
    <w:rsid w:val="00903D5F"/>
    <w:rsid w:val="00AE21D6"/>
    <w:rsid w:val="00BB2BAE"/>
    <w:rsid w:val="00D853AD"/>
    <w:rsid w:val="00F276E7"/>
    <w:rsid w:val="01AE58D5"/>
    <w:rsid w:val="0239189C"/>
    <w:rsid w:val="02E60066"/>
    <w:rsid w:val="03034B2C"/>
    <w:rsid w:val="033E1042"/>
    <w:rsid w:val="0520397D"/>
    <w:rsid w:val="058977F8"/>
    <w:rsid w:val="0AA54152"/>
    <w:rsid w:val="0F390DF3"/>
    <w:rsid w:val="0F3F1E29"/>
    <w:rsid w:val="129C0200"/>
    <w:rsid w:val="156825AE"/>
    <w:rsid w:val="16E61161"/>
    <w:rsid w:val="17BE768B"/>
    <w:rsid w:val="19497EA9"/>
    <w:rsid w:val="1B333985"/>
    <w:rsid w:val="1DC449F9"/>
    <w:rsid w:val="1F0A3D6A"/>
    <w:rsid w:val="1FC43482"/>
    <w:rsid w:val="21B91832"/>
    <w:rsid w:val="2AD36B13"/>
    <w:rsid w:val="2DCE5007"/>
    <w:rsid w:val="2EA5279B"/>
    <w:rsid w:val="2F7A4CC8"/>
    <w:rsid w:val="32940287"/>
    <w:rsid w:val="339907CE"/>
    <w:rsid w:val="349A3209"/>
    <w:rsid w:val="34C94D5B"/>
    <w:rsid w:val="3A156715"/>
    <w:rsid w:val="3E1511E9"/>
    <w:rsid w:val="3E2648D0"/>
    <w:rsid w:val="42D62C89"/>
    <w:rsid w:val="47A161FD"/>
    <w:rsid w:val="489402DF"/>
    <w:rsid w:val="4A274F12"/>
    <w:rsid w:val="4AAD7D57"/>
    <w:rsid w:val="51634F17"/>
    <w:rsid w:val="53DC30D6"/>
    <w:rsid w:val="54917B3F"/>
    <w:rsid w:val="54AF79BD"/>
    <w:rsid w:val="556F11AB"/>
    <w:rsid w:val="56C03F1F"/>
    <w:rsid w:val="580C6034"/>
    <w:rsid w:val="59AB7E51"/>
    <w:rsid w:val="5A0A422E"/>
    <w:rsid w:val="605E017C"/>
    <w:rsid w:val="628277C2"/>
    <w:rsid w:val="659A46F1"/>
    <w:rsid w:val="65CD5D2C"/>
    <w:rsid w:val="69046F5A"/>
    <w:rsid w:val="79805C52"/>
    <w:rsid w:val="7E267674"/>
    <w:rsid w:val="7F9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ascii="Calibri" w:hAnsi="Calibri" w:eastAsia="宋体" w:cs="Times New Roman"/>
      <w:kern w:val="2"/>
      <w:sz w:val="18"/>
      <w:szCs w:val="24"/>
      <w:lang w:val="en-US" w:eastAsia="zh-CN" w:bidi="ar-SA"/>
    </w:rPr>
  </w:style>
  <w:style w:type="paragraph" w:styleId="2">
    <w:name w:val="heading 1"/>
    <w:basedOn w:val="1"/>
    <w:next w:val="1"/>
    <w:link w:val="6"/>
    <w:qFormat/>
    <w:uiPriority w:val="0"/>
    <w:pPr>
      <w:keepNext/>
      <w:keepLines/>
      <w:spacing w:before="340" w:after="330" w:line="576" w:lineRule="auto"/>
      <w:jc w:val="center"/>
      <w:outlineLvl w:val="0"/>
    </w:pPr>
    <w:rPr>
      <w:b/>
      <w:kern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字符"/>
    <w:link w:val="2"/>
    <w:qFormat/>
    <w:uiPriority w:val="0"/>
    <w:rPr>
      <w:rFonts w:ascii="Calibri" w:hAnsi="Calibri" w:eastAsia="宋体" w:cs="Times New Roman"/>
      <w:b/>
      <w:kern w:val="44"/>
      <w:sz w:val="18"/>
    </w:rPr>
  </w:style>
  <w:style w:type="paragraph" w:customStyle="1" w:styleId="7">
    <w:name w:val="标题（一）"/>
    <w:basedOn w:val="1"/>
    <w:qFormat/>
    <w:uiPriority w:val="0"/>
    <w:pPr>
      <w:widowControl/>
      <w:spacing w:before="120" w:after="120" w:line="360" w:lineRule="atLeast"/>
      <w:ind w:left="420" w:leftChars="200" w:firstLine="0" w:firstLineChars="0"/>
      <w:jc w:val="left"/>
      <w:outlineLvl w:val="0"/>
    </w:pPr>
    <w:rPr>
      <w:rFonts w:hint="eastAsia" w:ascii="宋体" w:hAnsi="宋体"/>
      <w:color w:val="000000" w:themeColor="text1"/>
      <w:kern w:val="0"/>
      <w:szCs w:val="18"/>
      <w14:textFill>
        <w14:solidFill>
          <w14:schemeClr w14:val="tx1"/>
        </w14:solidFill>
      </w14:textFill>
    </w:rPr>
  </w:style>
  <w:style w:type="paragraph" w:customStyle="1" w:styleId="8">
    <w:name w:val="表格"/>
    <w:basedOn w:val="1"/>
    <w:qFormat/>
    <w:uiPriority w:val="0"/>
    <w:pPr>
      <w:ind w:firstLine="0" w:firstLineChars="0"/>
      <w:jc w:val="left"/>
    </w:pPr>
    <w:rPr>
      <w:rFonts w:hint="eastAsia" w:ascii="宋体" w:hAnsi="宋体" w:cs="宋体"/>
      <w:color w:val="000000"/>
      <w:szCs w:val="18"/>
    </w:rPr>
  </w:style>
  <w:style w:type="table" w:customStyle="1" w:styleId="9">
    <w:name w:val="dqbgxx"/>
    <w:basedOn w:val="4"/>
    <w:qFormat/>
    <w:uiPriority w:val="99"/>
    <w:pPr>
      <w:spacing w:line="288" w:lineRule="auto"/>
      <w:jc w:val="center"/>
    </w:pPr>
    <w:rPr>
      <w:rFonts w:eastAsia="黑体"/>
      <w:color w:val="000000"/>
      <w:sz w:val="22"/>
    </w:rPr>
    <w:tblPr>
      <w:tblBorders>
        <w:top w:val="single" w:color="auto" w:sz="4" w:space="0"/>
        <w:bottom w:val="single" w:color="auto" w:sz="4" w:space="0"/>
        <w:insideH w:val="single" w:color="auto" w:sz="4" w:space="0"/>
        <w:insideV w:val="single" w:color="auto" w:sz="4" w:space="0"/>
      </w:tblBorders>
    </w:tblPr>
    <w:tcPr>
      <w:vAlign w:val="center"/>
    </w:tcPr>
    <w:tblStylePr w:type="firstRow">
      <w:rPr>
        <w:rFonts w:eastAsia="黑体"/>
        <w:b/>
        <w:sz w:val="22"/>
      </w:rPr>
    </w:tblStylePr>
    <w:tblStylePr w:type="firstCol">
      <w:rPr>
        <w:rFonts w:eastAsia="黑体"/>
        <w:b/>
      </w:rPr>
    </w:tblStylePr>
  </w:style>
  <w:style w:type="paragraph" w:customStyle="1" w:styleId="10">
    <w:name w:val="结尾"/>
    <w:basedOn w:val="1"/>
    <w:qFormat/>
    <w:uiPriority w:val="0"/>
    <w:pPr>
      <w:widowControl/>
      <w:spacing w:before="120" w:after="120" w:line="360" w:lineRule="atLeast"/>
      <w:ind w:firstLine="0" w:firstLineChars="0"/>
      <w:jc w:val="center"/>
      <w:outlineLvl w:val="0"/>
    </w:pPr>
    <w:rPr>
      <w:rFonts w:hint="eastAsia" w:ascii="宋体" w:hAnsi="宋体"/>
      <w:kern w:val="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2130</Words>
  <Characters>2569</Characters>
  <Lines>10</Lines>
  <Paragraphs>2</Paragraphs>
  <TotalTime>0</TotalTime>
  <ScaleCrop>false</ScaleCrop>
  <LinksUpToDate>false</LinksUpToDate>
  <CharactersWithSpaces>2569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w_wangweihua</dc:creator>
  <cp:lastModifiedBy>Echo</cp:lastModifiedBy>
  <dcterms:modified xsi:type="dcterms:W3CDTF">2025-07-14T01:00:52Z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C3F43FF7464F42C0BFEAA36D5DC2CFFE</vt:lpwstr>
  </property>
  <property fmtid="{D5CDD505-2E9C-101B-9397-08002B2CF9AE}" pid="4" name="KSOTemplateDocerSaveRecord">
    <vt:lpwstr>eyJoZGlkIjoiYmJlMzkzMGRlOGQ5MTc5MTc2MTA4ZDAyYWU4OWM1Y2IiLCJ1c2VySWQiOiI0NTc3MDk1NjAifQ==</vt:lpwstr>
  </property>
</Properties>
</file>