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3"/>
        <w:jc w:val="center"/>
        <w:outlineLvl w:val="0"/>
        <w:rPr>
          <w:rFonts w:hint="default" w:ascii="Times New Roman" w:hAnsi="Times New Roman" w:eastAsia="宋体" w:cs="Times New Roman"/>
          <w:b/>
          <w:bCs/>
          <w:color w:val="000000"/>
          <w:sz w:val="18"/>
          <w:szCs w:val="18"/>
        </w:rPr>
      </w:pPr>
      <w:r>
        <w:rPr>
          <w:rFonts w:hint="default" w:ascii="Times New Roman" w:hAnsi="Times New Roman" w:eastAsia="宋体" w:cs="Times New Roman"/>
          <w:b/>
          <w:color w:val="000000"/>
          <w:spacing w:val="-17"/>
          <w:kern w:val="30"/>
          <w:sz w:val="18"/>
          <w:szCs w:val="18"/>
        </w:rPr>
        <w:t>广州银行红棉添盈均衡24个月定开1号理财产品（TYJH2401A）2025年二季度运作报告</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一、理财产品基本信息</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产品名称</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广州银行红棉添盈均衡24个月定开1号理财产品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产品代码</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TYJH2401A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银行业理财信息登记系统登记编码</w:t>
            </w:r>
          </w:p>
        </w:tc>
        <w:tc>
          <w:tcPr>
            <w:tcW w:w="6197" w:type="dxa"/>
            <w:vAlign w:val="center"/>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C1082720000311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产品运作方式</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产品收益类型</w:t>
            </w:r>
          </w:p>
        </w:tc>
        <w:tc>
          <w:tcPr>
            <w:tcW w:w="6197" w:type="dxa"/>
          </w:tcPr>
          <w:p>
            <w:pPr>
              <w:ind w:firstLine="0" w:firstLineChars="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产品类型</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发行方式</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产品成立日</w:t>
            </w:r>
          </w:p>
        </w:tc>
        <w:tc>
          <w:tcPr>
            <w:tcW w:w="6197" w:type="dxa"/>
            <w:vAlign w:val="center"/>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2021年05月24日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产品管理人</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广州银行股份有限公司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产品托管人</w:t>
            </w:r>
          </w:p>
        </w:tc>
        <w:tc>
          <w:tcPr>
            <w:tcW w:w="6197" w:type="dxa"/>
          </w:tcPr>
          <w:p>
            <w:pPr>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中国工商银行股份有限公司</w:t>
            </w:r>
          </w:p>
        </w:tc>
      </w:tr>
    </w:tbl>
    <w:p>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二、宏观市场分析及产品运作回顾</w:t>
      </w:r>
    </w:p>
    <w:p>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（一）宏观市场分析</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b/>
          <w:bCs/>
          <w:color w:val="000000"/>
          <w:sz w:val="18"/>
          <w:szCs w:val="18"/>
          <w:lang w:eastAsia="zh-CN"/>
        </w:rPr>
        <w:t>债券市场方面：</w:t>
      </w:r>
      <w:r>
        <w:rPr>
          <w:rFonts w:hint="default" w:ascii="Times New Roman" w:hAnsi="Times New Roman" w:eastAsia="宋体" w:cs="Times New Roman"/>
          <w:b w:val="0"/>
          <w:bCs w:val="0"/>
          <w:color w:val="000000"/>
          <w:sz w:val="18"/>
          <w:szCs w:val="18"/>
        </w:rPr>
        <w:t>二季度，债市整体处于顺风的环境。2025年5月7日，一揽子金融政策出台，数量工具方面，降准50bp落地；价格工具方面，公开市场操作7天期逆回购利率下调10bp，银行间资金面维持宽松的状态；内需基本面好转幅度偏弱，外需仍面临关税战的不确定性。</w:t>
      </w:r>
      <w:r>
        <w:rPr>
          <w:rFonts w:hint="default" w:ascii="Times New Roman" w:hAnsi="Times New Roman" w:eastAsia="宋体" w:cs="Times New Roman"/>
          <w:color w:val="000000"/>
          <w:sz w:val="18"/>
          <w:szCs w:val="18"/>
          <w:lang w:eastAsia="zh-CN"/>
        </w:rPr>
        <w:t>展望后市，</w:t>
      </w:r>
      <w:r>
        <w:rPr>
          <w:rFonts w:hint="default" w:ascii="Times New Roman" w:hAnsi="Times New Roman" w:eastAsia="宋体" w:cs="Times New Roman"/>
          <w:color w:val="000000"/>
          <w:sz w:val="18"/>
          <w:szCs w:val="18"/>
        </w:rPr>
        <w:t>经济向高质量发展阶段转型的过程中，金融总量增速可能有所下降。金融体系的资金仍面临寻找优质资产的问题，具备票息价值的信用债仍然存在利差压缩的空间。在国外即将面临美联储的降息周期，国内广谱利率下行、有效需求不足的影响下，固收资产需求的持续性与货币宽松预期或将成为下半年的主要演绎逻辑。</w:t>
      </w:r>
    </w:p>
    <w:p>
      <w:pPr>
        <w:spacing w:before="120" w:after="120" w:line="360" w:lineRule="exact"/>
        <w:ind w:firstLine="36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b/>
          <w:bCs/>
          <w:color w:val="000000"/>
          <w:sz w:val="18"/>
          <w:szCs w:val="18"/>
          <w:lang w:eastAsia="zh-CN"/>
        </w:rPr>
        <w:t>权益市场方面：</w:t>
      </w:r>
      <w:r>
        <w:rPr>
          <w:rFonts w:hint="default" w:ascii="Times New Roman" w:hAnsi="Times New Roman" w:eastAsia="宋体" w:cs="Times New Roman"/>
          <w:color w:val="000000"/>
          <w:sz w:val="18"/>
          <w:szCs w:val="18"/>
          <w:lang w:eastAsia="zh-CN"/>
        </w:rPr>
        <w:t>二季度，A股与港股市场呈现震荡上行的走势。季度初，受美国关税事件影响，出现单日大幅回撤；随后，在政策和市场多方呵护下，股指企稳并稳步上行。</w:t>
      </w:r>
      <w:r>
        <w:rPr>
          <w:rFonts w:hint="default" w:ascii="Times New Roman" w:hAnsi="Times New Roman" w:eastAsia="宋体" w:cs="Times New Roman"/>
          <w:color w:val="000000"/>
          <w:sz w:val="18"/>
          <w:szCs w:val="18"/>
          <w:lang w:val="en-US" w:eastAsia="zh-CN"/>
        </w:rPr>
        <w:t>二</w:t>
      </w:r>
      <w:r>
        <w:rPr>
          <w:rFonts w:hint="default" w:ascii="Times New Roman" w:hAnsi="Times New Roman" w:eastAsia="宋体" w:cs="Times New Roman"/>
          <w:color w:val="000000"/>
          <w:sz w:val="18"/>
          <w:szCs w:val="18"/>
          <w:lang w:eastAsia="zh-CN"/>
        </w:rPr>
        <w:t>季度，上证指数上涨3.26%，深证成指微跌0.37%，中证2000指数季度涨幅</w:t>
      </w:r>
      <w:r>
        <w:rPr>
          <w:rFonts w:hint="default" w:ascii="Times New Roman" w:hAnsi="Times New Roman" w:eastAsia="宋体" w:cs="Times New Roman"/>
          <w:color w:val="000000"/>
          <w:sz w:val="18"/>
          <w:szCs w:val="18"/>
          <w:lang w:val="en-US" w:eastAsia="zh-CN"/>
        </w:rPr>
        <w:t>高</w:t>
      </w:r>
      <w:r>
        <w:rPr>
          <w:rFonts w:hint="default" w:ascii="Times New Roman" w:hAnsi="Times New Roman" w:eastAsia="宋体" w:cs="Times New Roman"/>
          <w:color w:val="000000"/>
          <w:sz w:val="18"/>
          <w:szCs w:val="18"/>
          <w:lang w:eastAsia="zh-CN"/>
        </w:rPr>
        <w:t>达7.62%，小盘股仍然占优。行业方面，受地缘局势紧张、装备升级需求及政策支持推动，国防军工表现亮眼；创新药板块得益于药企出海超预期，同样表现突出；上市银行在存款利率下调、信贷扩张，叠加险资增持高股息资产等利多因素影响下，录得双位数涨幅。整体来看，二季度A股在多方呵护下走出了企稳修复的行情。展望后市，市场较为关注后续经济刺激政策的力度，美国关税政策也有一定的不确定</w:t>
      </w:r>
      <w:r>
        <w:rPr>
          <w:rFonts w:hint="default" w:ascii="Times New Roman" w:hAnsi="Times New Roman" w:eastAsia="宋体" w:cs="Times New Roman"/>
          <w:color w:val="000000"/>
          <w:sz w:val="18"/>
          <w:szCs w:val="18"/>
          <w:lang w:val="en-US" w:eastAsia="zh-CN"/>
        </w:rPr>
        <w:t>性</w:t>
      </w:r>
      <w:r>
        <w:rPr>
          <w:rFonts w:hint="default" w:ascii="Times New Roman" w:hAnsi="Times New Roman" w:eastAsia="宋体" w:cs="Times New Roman"/>
          <w:color w:val="000000"/>
          <w:sz w:val="18"/>
          <w:szCs w:val="18"/>
          <w:lang w:eastAsia="zh-CN"/>
        </w:rPr>
        <w:t>。</w:t>
      </w:r>
    </w:p>
    <w:p>
      <w:pPr>
        <w:spacing w:before="120" w:after="120" w:line="360" w:lineRule="exact"/>
        <w:ind w:firstLine="360"/>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eastAsia="zh-CN"/>
        </w:rPr>
        <w:t>2025年</w:t>
      </w:r>
      <w:r>
        <w:rPr>
          <w:rFonts w:hint="default" w:ascii="Times New Roman" w:hAnsi="Times New Roman" w:eastAsia="宋体" w:cs="Times New Roman"/>
          <w:color w:val="000000"/>
          <w:sz w:val="18"/>
          <w:szCs w:val="18"/>
          <w:lang w:val="en-US" w:eastAsia="zh-CN"/>
        </w:rPr>
        <w:t>三</w:t>
      </w:r>
      <w:r>
        <w:rPr>
          <w:rFonts w:hint="default" w:ascii="Times New Roman" w:hAnsi="Times New Roman" w:eastAsia="宋体" w:cs="Times New Roman"/>
          <w:color w:val="000000"/>
          <w:sz w:val="18"/>
          <w:szCs w:val="18"/>
          <w:lang w:eastAsia="zh-CN"/>
        </w:rPr>
        <w:t>季度，我行将继续密切关注资金面变化、基本面修复、政策变动及外部市场冲击等扰动因素，积极把握市场调整中可能出现的交易和配置机会，灵活调整产品的配置策略、久期和杠杆，抓住波段机会，顺势而为。</w:t>
      </w:r>
    </w:p>
    <w:p>
      <w:pPr>
        <w:pStyle w:val="3"/>
        <w:widowControl/>
        <w:spacing w:before="120" w:beforeAutospacing="0" w:after="120" w:afterAutospacing="0" w:line="360" w:lineRule="exact"/>
        <w:ind w:left="360" w:leftChars="200"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（二）产品运作回顾</w:t>
      </w:r>
    </w:p>
    <w:p>
      <w:pPr>
        <w:spacing w:before="120" w:after="120" w:line="360" w:lineRule="exact"/>
        <w:ind w:firstLine="360"/>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eastAsia="zh-CN"/>
        </w:rPr>
        <w:t>本产品为均衡型“固收+”策略产品，至少投资80%（含）以上的固定收益类资产，在资产配置中突出绝对收益特征，风险评级为中低风险。本产品固收类资产主要投资于高等级信用债及债权类项目，权益类投资主要根据市场情况动态调整，通过久期策略、杠杆策略、信用策略、股票多头策略、市场中性策略等方式增厚产品收益。二季度权益市场整体先跌后涨。季度初，受美国关税政策的冲击，出现了单日大幅下跌的冲击，我行分析判断出现了超跌机会，择机进行了一定的波段交易。随后市场逐步平稳修复，我行坚定看好权益市场的潜力，在港股红利类资产和科技类资产方面进行了小幅超配，取得了较好的收益。展望下阶段，我行认为在低利率环境下，权益资产的性价比仍较为可观，权益市场向下有底，产品将根据市场变化适时调整权益资产的配置比例。未来，我行将继续根据市场情况，灵活调整资产配置策略。风险控制方面，我行实时跟踪信用主体状况、市场利率走势以及权益市场的趋势，确保本产品稳健运行。</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三、产品表现</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（一）业绩表现</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报告日</w:t>
            </w:r>
          </w:p>
        </w:tc>
        <w:tc>
          <w:tcPr>
            <w:tcW w:w="6197"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2025年06月30日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存续规模（份额）</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47,894,477.26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份额单位净值</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份额累计净值</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期末资产净值</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48,500,205.41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成立以来年化收益率（%）</w:t>
            </w:r>
          </w:p>
        </w:tc>
        <w:tc>
          <w:tcPr>
            <w:tcW w:w="6197" w:type="dxa"/>
            <w:vAlign w:val="bottom"/>
          </w:tcPr>
          <w:p>
            <w:pPr>
              <w:pStyle w:val="8"/>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3.86</w:t>
            </w:r>
          </w:p>
        </w:tc>
      </w:tr>
    </w:tbl>
    <w:p>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注：报告期末本产品杠杆率为</w:t>
      </w:r>
      <w:r>
        <w:rPr>
          <w:rFonts w:hint="eastAsia" w:ascii="Times New Roman" w:hAnsi="Times New Roman" w:cs="Times New Roman"/>
          <w:sz w:val="18"/>
          <w:szCs w:val="18"/>
          <w:lang w:val="en-US" w:eastAsia="zh-CN"/>
        </w:rPr>
        <w:t>100.33</w:t>
      </w:r>
      <w:r>
        <w:rPr>
          <w:rFonts w:hint="default" w:ascii="Times New Roman" w:hAnsi="Times New Roman" w:eastAsia="宋体" w:cs="Times New Roman"/>
          <w:sz w:val="18"/>
          <w:szCs w:val="18"/>
        </w:rPr>
        <w:t>%</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（二）产品投资资产种类</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截止2025年6月末，本产品的投资状况如下：</w:t>
      </w:r>
    </w:p>
    <w:tbl>
      <w:tblPr>
        <w:tblStyle w:val="4"/>
        <w:tblW w:w="8519" w:type="dxa"/>
        <w:jc w:val="center"/>
        <w:tblLayout w:type="fixed"/>
        <w:tblCellMar>
          <w:top w:w="0" w:type="dxa"/>
          <w:left w:w="0" w:type="dxa"/>
          <w:bottom w:w="0" w:type="dxa"/>
          <w:right w:w="0" w:type="dxa"/>
        </w:tblCellMar>
      </w:tblPr>
      <w:tblGrid>
        <w:gridCol w:w="1024"/>
        <w:gridCol w:w="1556"/>
        <w:gridCol w:w="1482"/>
        <w:gridCol w:w="1482"/>
        <w:gridCol w:w="1482"/>
        <w:gridCol w:w="1493"/>
      </w:tblGrid>
      <w:tr>
        <w:tblPrEx>
          <w:tblCellMar>
            <w:top w:w="0" w:type="dxa"/>
            <w:left w:w="0" w:type="dxa"/>
            <w:bottom w:w="0" w:type="dxa"/>
            <w:right w:w="0" w:type="dxa"/>
          </w:tblCellMar>
        </w:tblPrEx>
        <w:trPr>
          <w:trHeight w:val="6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序号</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资产品种</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穿透前资产金额</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穿透后资产金额</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（万元）</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占组合总资产</w:t>
            </w:r>
          </w:p>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比例</w:t>
            </w:r>
          </w:p>
        </w:tc>
      </w:tr>
      <w:tr>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1</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固定收益类资产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3,617.49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74.34%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4,717.47</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96.95%</w:t>
            </w:r>
          </w:p>
        </w:tc>
      </w:tr>
      <w:tr>
        <w:tblPrEx>
          <w:tblCellMar>
            <w:top w:w="0" w:type="dxa"/>
            <w:left w:w="0" w:type="dxa"/>
            <w:bottom w:w="0" w:type="dxa"/>
            <w:right w:w="0" w:type="dxa"/>
          </w:tblCellMar>
        </w:tblPrEx>
        <w:trPr>
          <w:trHeight w:val="36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其中：债券</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3,445.25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70.80%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3,445.25</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70.80%</w:t>
            </w:r>
          </w:p>
        </w:tc>
      </w:tr>
      <w:tr>
        <w:tblPrEx>
          <w:tblCellMar>
            <w:top w:w="0" w:type="dxa"/>
            <w:left w:w="0" w:type="dxa"/>
            <w:bottom w:w="0" w:type="dxa"/>
            <w:right w:w="0" w:type="dxa"/>
          </w:tblCellMar>
        </w:tblPrEx>
        <w:trPr>
          <w:trHeight w:val="29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存款</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172.23</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3.54%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172.23</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3.54%</w:t>
            </w:r>
          </w:p>
        </w:tc>
      </w:tr>
      <w:tr>
        <w:tblPrEx>
          <w:tblCellMar>
            <w:top w:w="0" w:type="dxa"/>
            <w:left w:w="0" w:type="dxa"/>
            <w:bottom w:w="0" w:type="dxa"/>
            <w:right w:w="0" w:type="dxa"/>
          </w:tblCellMar>
        </w:tblPrEx>
        <w:trPr>
          <w:trHeight w:val="300"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其他债权类资产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1,099.98</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22.61%</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2</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买入返售金融资产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0.00</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0.00%</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3</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lang w:bidi="ar"/>
              </w:rPr>
              <w:t>公募基金</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148.44</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3.05%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eastAsia="zh-CN" w:bidi="ar"/>
              </w:rPr>
            </w:pPr>
            <w:r>
              <w:rPr>
                <w:rFonts w:hint="default" w:ascii="Times New Roman" w:hAnsi="Times New Roman" w:eastAsia="宋体" w:cs="Times New Roman"/>
                <w:color w:val="000000"/>
                <w:kern w:val="0"/>
                <w:sz w:val="18"/>
                <w:szCs w:val="18"/>
                <w:lang w:bidi="ar"/>
              </w:rPr>
              <w:t>148.44</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3.05%</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4</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权益类资产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其中：股票</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kern w:val="0"/>
                <w:sz w:val="18"/>
                <w:szCs w:val="18"/>
                <w:lang w:bidi="ar"/>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color w:val="000000"/>
                <w:kern w:val="0"/>
                <w:sz w:val="18"/>
                <w:szCs w:val="18"/>
                <w:lang w:bidi="ar"/>
              </w:rPr>
              <w:t>其他股权类资产</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w:t>
            </w:r>
          </w:p>
        </w:tc>
      </w:tr>
      <w:tr>
        <w:tblPrEx>
          <w:tblCellMar>
            <w:top w:w="0" w:type="dxa"/>
            <w:left w:w="0" w:type="dxa"/>
            <w:bottom w:w="0" w:type="dxa"/>
            <w:right w:w="0" w:type="dxa"/>
          </w:tblCellMar>
        </w:tblPrEx>
        <w:trPr>
          <w:trHeight w:val="285" w:hRule="atLeast"/>
          <w:jc w:val="center"/>
        </w:trPr>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firstLine="0" w:firstLineChars="0"/>
              <w:jc w:val="center"/>
              <w:rPr>
                <w:rFonts w:hint="default" w:ascii="Times New Roman" w:hAnsi="Times New Roman" w:eastAsia="宋体" w:cs="Times New Roman"/>
                <w:b/>
                <w:color w:val="000000"/>
                <w:kern w:val="0"/>
                <w:sz w:val="18"/>
                <w:szCs w:val="18"/>
                <w:lang w:bidi="ar"/>
              </w:rPr>
            </w:pPr>
            <w:r>
              <w:rPr>
                <w:rFonts w:hint="default" w:ascii="Times New Roman" w:hAnsi="Times New Roman" w:eastAsia="宋体" w:cs="Times New Roman"/>
                <w:b/>
                <w:color w:val="000000"/>
                <w:kern w:val="0"/>
                <w:sz w:val="18"/>
                <w:szCs w:val="18"/>
                <w:lang w:bidi="ar"/>
              </w:rPr>
              <w:t>5</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b/>
                <w:bCs/>
                <w:color w:val="000000"/>
                <w:kern w:val="0"/>
                <w:sz w:val="18"/>
                <w:szCs w:val="18"/>
                <w:lang w:bidi="ar"/>
              </w:rPr>
              <w:t>资产管理产品</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1,099.98</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22.61%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c>
          <w:tcPr>
            <w:tcW w:w="1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firstLine="0" w:firstLineChars="0"/>
              <w:jc w:val="center"/>
              <w:textAlignment w:val="top"/>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w:t>
            </w:r>
          </w:p>
        </w:tc>
      </w:tr>
    </w:tbl>
    <w:p>
      <w:pPr>
        <w:pStyle w:val="7"/>
        <w:spacing w:line="360" w:lineRule="exact"/>
        <w:ind w:left="0" w:leftChars="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注：占比结果保留两位小数，可能存在尾差。</w:t>
      </w:r>
    </w:p>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（三）前十大资产持仓情况</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截止2025年6月末，本产品的前十大资产持仓情况如下：</w:t>
      </w:r>
    </w:p>
    <w:tbl>
      <w:tblPr>
        <w:tblStyle w:val="4"/>
        <w:tblW w:w="8160" w:type="dxa"/>
        <w:jc w:val="center"/>
        <w:tblLayout w:type="fixed"/>
        <w:tblCellMar>
          <w:top w:w="15" w:type="dxa"/>
          <w:left w:w="15" w:type="dxa"/>
          <w:bottom w:w="15" w:type="dxa"/>
          <w:right w:w="15" w:type="dxa"/>
        </w:tblCellMar>
      </w:tblPr>
      <w:tblGrid>
        <w:gridCol w:w="1064"/>
        <w:gridCol w:w="3309"/>
        <w:gridCol w:w="1980"/>
        <w:gridCol w:w="1807"/>
      </w:tblGrid>
      <w:tr>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3309"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资产名称</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持有金额（万元）</w:t>
            </w:r>
          </w:p>
        </w:tc>
        <w:tc>
          <w:tcPr>
            <w:tcW w:w="180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占比</w:t>
            </w:r>
          </w:p>
        </w:tc>
      </w:tr>
      <w:tr>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24重庆25</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1,265.43</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26.09%</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光大永明-珠海格瑞不动产债权投资计划</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1,099.98</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22.68%</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22开平01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411.31</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8.48%</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22三水F1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358.86</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7.40%</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5</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22江开06</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306.95</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6.33%</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22清万B</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304.50</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6.28%</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7</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22高明01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207.15</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4.27%</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8</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22吴发G4</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204.63</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4.22%</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9</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23产业01</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203.55</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4.20%</w:t>
            </w:r>
          </w:p>
        </w:tc>
      </w:tr>
      <w:tr>
        <w:tblPrEx>
          <w:tblCellMar>
            <w:top w:w="15" w:type="dxa"/>
            <w:left w:w="15" w:type="dxa"/>
            <w:bottom w:w="15" w:type="dxa"/>
            <w:right w:w="15" w:type="dxa"/>
          </w:tblCellMar>
        </w:tblPrEx>
        <w:trPr>
          <w:jc w:val="center"/>
        </w:trPr>
        <w:tc>
          <w:tcPr>
            <w:tcW w:w="1064"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10</w:t>
            </w:r>
          </w:p>
        </w:tc>
        <w:tc>
          <w:tcPr>
            <w:tcW w:w="3309"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托管账户</w:t>
            </w:r>
          </w:p>
        </w:tc>
        <w:tc>
          <w:tcPr>
            <w:tcW w:w="1980"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172.23</w:t>
            </w:r>
          </w:p>
        </w:tc>
        <w:tc>
          <w:tcPr>
            <w:tcW w:w="1807" w:type="dxa"/>
            <w:tcBorders>
              <w:top w:val="single" w:color="000000" w:sz="4" w:space="0"/>
              <w:left w:val="single" w:color="000000" w:sz="4" w:space="0"/>
              <w:bottom w:val="single" w:color="000000" w:sz="4" w:space="0"/>
              <w:right w:val="single" w:color="000000" w:sz="4" w:space="0"/>
            </w:tcBorders>
            <w:vAlign w:val="bottom"/>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sz w:val="18"/>
                <w:szCs w:val="18"/>
              </w:rPr>
              <w:t>3.55%</w:t>
            </w:r>
          </w:p>
        </w:tc>
      </w:tr>
    </w:tbl>
    <w:p>
      <w:pPr>
        <w:pStyle w:val="7"/>
        <w:spacing w:line="360" w:lineRule="exact"/>
        <w:ind w:left="0" w:leftChars="0"/>
        <w:outlineLvl w:val="9"/>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注：占比结果保留两位小数，可能存在尾差。</w:t>
      </w:r>
    </w:p>
    <w:p>
      <w:pPr>
        <w:spacing w:before="120" w:after="120" w:line="360" w:lineRule="exact"/>
        <w:ind w:firstLine="36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四</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非标资产明细</w:t>
      </w:r>
    </w:p>
    <w:tbl>
      <w:tblPr>
        <w:tblStyle w:val="4"/>
        <w:tblW w:w="9225" w:type="dxa"/>
        <w:jc w:val="center"/>
        <w:tblLayout w:type="fixed"/>
        <w:tblCellMar>
          <w:top w:w="15" w:type="dxa"/>
          <w:left w:w="15" w:type="dxa"/>
          <w:bottom w:w="15" w:type="dxa"/>
          <w:right w:w="15" w:type="dxa"/>
        </w:tblCellMar>
      </w:tblPr>
      <w:tblGrid>
        <w:gridCol w:w="507"/>
        <w:gridCol w:w="1425"/>
        <w:gridCol w:w="2520"/>
        <w:gridCol w:w="1503"/>
        <w:gridCol w:w="1080"/>
        <w:gridCol w:w="1110"/>
        <w:gridCol w:w="1080"/>
      </w:tblGrid>
      <w:tr>
        <w:tblPrEx>
          <w:tblCellMar>
            <w:top w:w="15" w:type="dxa"/>
            <w:left w:w="15" w:type="dxa"/>
            <w:bottom w:w="15" w:type="dxa"/>
            <w:right w:w="15" w:type="dxa"/>
          </w:tblCellMar>
        </w:tblPrEx>
        <w:trPr>
          <w:trHeight w:val="525" w:hRule="atLeast"/>
          <w:jc w:val="center"/>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项目名称</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融资客户名称</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交易结构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收益率（%)</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剩余期限（月）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风险情况</w:t>
            </w:r>
          </w:p>
        </w:tc>
      </w:tr>
      <w:tr>
        <w:tblPrEx>
          <w:tblCellMar>
            <w:top w:w="15" w:type="dxa"/>
            <w:left w:w="15" w:type="dxa"/>
            <w:bottom w:w="15" w:type="dxa"/>
            <w:right w:w="15" w:type="dxa"/>
          </w:tblCellMar>
        </w:tblPrEx>
        <w:trPr>
          <w:trHeight w:val="367" w:hRule="atLeast"/>
          <w:jc w:val="center"/>
        </w:trPr>
        <w:tc>
          <w:tcPr>
            <w:tcW w:w="507"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top"/>
              <w:rPr>
                <w:rFonts w:hint="default" w:ascii="Times New Roman" w:hAnsi="Times New Roman" w:eastAsia="宋体" w:cs="Times New Roman"/>
                <w:color w:val="000000"/>
                <w:kern w:val="0"/>
                <w:sz w:val="18"/>
                <w:szCs w:val="18"/>
                <w:lang w:bidi="ar"/>
              </w:rPr>
            </w:pPr>
            <w:r>
              <w:rPr>
                <w:rFonts w:hint="default" w:ascii="Times New Roman" w:hAnsi="Times New Roman" w:eastAsia="宋体" w:cs="Times New Roman"/>
                <w:color w:val="000000"/>
                <w:kern w:val="0"/>
                <w:sz w:val="18"/>
                <w:szCs w:val="18"/>
                <w:lang w:bidi="ar"/>
              </w:rPr>
              <w:t>1</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光大永明-珠海格瑞不动产债权投资计划</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珠海格瑞建设开发有限公司</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保债计划</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3.86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18.30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正常</w:t>
            </w:r>
          </w:p>
        </w:tc>
      </w:tr>
    </w:tbl>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五</w:t>
      </w:r>
      <w:r>
        <w:rPr>
          <w:rFonts w:hint="default" w:ascii="Times New Roman" w:hAnsi="Times New Roman" w:eastAsia="宋体" w:cs="Times New Roman"/>
          <w:sz w:val="18"/>
          <w:szCs w:val="18"/>
        </w:rPr>
        <w:t>）报告期内关联交易情况</w:t>
      </w:r>
    </w:p>
    <w:p>
      <w:pPr>
        <w:pStyle w:val="7"/>
        <w:spacing w:line="360" w:lineRule="exact"/>
        <w:ind w:left="360"/>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1.本产品在报告期内全部关联交易均按照公允价格开展，</w:t>
      </w:r>
      <w:r>
        <w:rPr>
          <w:rFonts w:hint="default" w:ascii="Times New Roman" w:hAnsi="Times New Roman" w:eastAsia="宋体" w:cs="Times New Roman"/>
          <w:sz w:val="18"/>
          <w:szCs w:val="18"/>
          <w:lang w:eastAsia="zh-CN"/>
        </w:rPr>
        <w:t>产品持有关联方发行或承销的证券情况如下：</w:t>
      </w:r>
    </w:p>
    <w:tbl>
      <w:tblPr>
        <w:tblStyle w:val="9"/>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1038"/>
        <w:gridCol w:w="122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序号</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证券简称</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证券类别</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持有数量(份)</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持有金额（万元）</w:t>
            </w:r>
          </w:p>
        </w:tc>
        <w:tc>
          <w:tcPr>
            <w:tcW w:w="1220"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关联方名称</w:t>
            </w:r>
          </w:p>
        </w:tc>
        <w:tc>
          <w:tcPr>
            <w:tcW w:w="1170"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关联方角色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widowControl/>
              <w:ind w:firstLine="0" w:firstLineChars="0"/>
              <w:jc w:val="center"/>
              <w:textAlignment w:val="top"/>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val="en-US" w:eastAsia="zh-CN"/>
              </w:rPr>
              <w:t>1</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易方达沪深300ETF联接C</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基金类资产</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 xml:space="preserve"> 5,405 </w:t>
            </w:r>
          </w:p>
        </w:tc>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 xml:space="preserve"> 83.56 </w:t>
            </w:r>
          </w:p>
        </w:tc>
        <w:tc>
          <w:tcPr>
            <w:tcW w:w="1220" w:type="dxa"/>
            <w:vAlign w:val="center"/>
          </w:tcPr>
          <w:p>
            <w:pPr>
              <w:widowControl/>
              <w:ind w:firstLine="0" w:firstLineChars="0"/>
              <w:jc w:val="center"/>
              <w:textAlignment w:val="top"/>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易方达基金管理有限公司</w:t>
            </w:r>
          </w:p>
        </w:tc>
        <w:tc>
          <w:tcPr>
            <w:tcW w:w="1170" w:type="dxa"/>
            <w:vAlign w:val="center"/>
          </w:tcPr>
          <w:p>
            <w:pPr>
              <w:widowControl/>
              <w:ind w:firstLine="0" w:firstLineChars="0"/>
              <w:jc w:val="center"/>
              <w:textAlignment w:val="top"/>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widowControl/>
              <w:ind w:firstLine="0" w:firstLineChars="0"/>
              <w:jc w:val="center"/>
              <w:textAlignment w:val="top"/>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c>
          <w:tcPr>
            <w:tcW w:w="1038" w:type="dxa"/>
            <w:vAlign w:val="center"/>
          </w:tcPr>
          <w:p>
            <w:pPr>
              <w:widowControl/>
              <w:ind w:firstLine="0" w:firstLineChars="0"/>
              <w:jc w:val="center"/>
              <w:textAlignment w:val="top"/>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24重庆25</w:t>
            </w:r>
          </w:p>
        </w:tc>
        <w:tc>
          <w:tcPr>
            <w:tcW w:w="1038" w:type="dxa"/>
            <w:vAlign w:val="center"/>
          </w:tcPr>
          <w:p>
            <w:pPr>
              <w:widowControl/>
              <w:ind w:firstLine="0" w:firstLineChars="0"/>
              <w:jc w:val="center"/>
              <w:textAlignment w:val="top"/>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债券</w:t>
            </w:r>
          </w:p>
        </w:tc>
        <w:tc>
          <w:tcPr>
            <w:tcW w:w="1038" w:type="dxa"/>
            <w:vAlign w:val="center"/>
          </w:tcPr>
          <w:p>
            <w:pPr>
              <w:widowControl/>
              <w:ind w:firstLine="0" w:firstLineChars="0"/>
              <w:jc w:val="center"/>
              <w:textAlignment w:val="top"/>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 120,000 </w:t>
            </w:r>
          </w:p>
        </w:tc>
        <w:tc>
          <w:tcPr>
            <w:tcW w:w="1038" w:type="dxa"/>
            <w:vAlign w:val="center"/>
          </w:tcPr>
          <w:p>
            <w:pPr>
              <w:widowControl/>
              <w:ind w:firstLine="0" w:firstLineChars="0"/>
              <w:jc w:val="center"/>
              <w:textAlignment w:val="top"/>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 1,265.43 </w:t>
            </w:r>
          </w:p>
        </w:tc>
        <w:tc>
          <w:tcPr>
            <w:tcW w:w="1220" w:type="dxa"/>
            <w:vAlign w:val="center"/>
          </w:tcPr>
          <w:p>
            <w:pPr>
              <w:widowControl/>
              <w:ind w:firstLine="0" w:firstLineChars="0"/>
              <w:jc w:val="center"/>
              <w:textAlignment w:val="top"/>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中国工商银行股份有限公司</w:t>
            </w:r>
          </w:p>
        </w:tc>
        <w:tc>
          <w:tcPr>
            <w:tcW w:w="1170" w:type="dxa"/>
            <w:vAlign w:val="center"/>
          </w:tcPr>
          <w:p>
            <w:pPr>
              <w:widowControl/>
              <w:ind w:firstLine="0" w:firstLineChars="0"/>
              <w:jc w:val="center"/>
              <w:textAlignment w:val="top"/>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主承销商工商银行为本产品的托管行</w:t>
            </w:r>
          </w:p>
        </w:tc>
      </w:tr>
    </w:tbl>
    <w:p>
      <w:pPr>
        <w:pStyle w:val="7"/>
        <w:spacing w:line="360" w:lineRule="exact"/>
        <w:ind w:left="360"/>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2.其他重大关联交易</w:t>
      </w:r>
    </w:p>
    <w:p>
      <w:pPr>
        <w:spacing w:before="120" w:after="120" w:line="360" w:lineRule="exact"/>
        <w:ind w:firstLine="36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无。</w:t>
      </w:r>
    </w:p>
    <w:p>
      <w:pPr>
        <w:spacing w:before="120" w:after="120" w:line="360" w:lineRule="exact"/>
        <w:ind w:firstLine="36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六</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投资账户信息</w:t>
      </w:r>
    </w:p>
    <w:tbl>
      <w:tblPr>
        <w:tblStyle w:val="4"/>
        <w:tblW w:w="9852" w:type="dxa"/>
        <w:jc w:val="center"/>
        <w:tblLayout w:type="fixed"/>
        <w:tblCellMar>
          <w:top w:w="15" w:type="dxa"/>
          <w:left w:w="15" w:type="dxa"/>
          <w:bottom w:w="15" w:type="dxa"/>
          <w:right w:w="15" w:type="dxa"/>
        </w:tblCellMar>
      </w:tblPr>
      <w:tblGrid>
        <w:gridCol w:w="1064"/>
        <w:gridCol w:w="1504"/>
        <w:gridCol w:w="2416"/>
        <w:gridCol w:w="3250"/>
        <w:gridCol w:w="1618"/>
      </w:tblGrid>
      <w:tr>
        <w:tblPrEx>
          <w:tblCellMar>
            <w:top w:w="15" w:type="dxa"/>
            <w:left w:w="15" w:type="dxa"/>
            <w:bottom w:w="15" w:type="dxa"/>
            <w:right w:w="15" w:type="dxa"/>
          </w:tblCellMar>
        </w:tblPrEx>
        <w:trPr>
          <w:trHeight w:val="5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序号</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账户类型</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kern w:val="0"/>
                <w:sz w:val="18"/>
                <w:szCs w:val="18"/>
                <w:highlight w:val="none"/>
                <w:lang w:bidi="ar"/>
              </w:rPr>
              <w:t>账户编号</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账户名称</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开户单位</w:t>
            </w:r>
          </w:p>
        </w:tc>
      </w:tr>
      <w:tr>
        <w:tblPrEx>
          <w:tblCellMar>
            <w:top w:w="15" w:type="dxa"/>
            <w:left w:w="15" w:type="dxa"/>
            <w:bottom w:w="15" w:type="dxa"/>
            <w:right w:w="15" w:type="dxa"/>
          </w:tblCellMar>
        </w:tblPrEx>
        <w:trPr>
          <w:trHeight w:val="90" w:hRule="atLeast"/>
          <w:jc w:val="center"/>
        </w:trPr>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top"/>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sz w:val="18"/>
                <w:szCs w:val="18"/>
                <w:highlight w:val="none"/>
              </w:rPr>
              <w:t>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bidi="ar"/>
              </w:rPr>
              <w:t>托管账户</w:t>
            </w:r>
          </w:p>
        </w:tc>
        <w:tc>
          <w:tcPr>
            <w:tcW w:w="2416"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3602041729200747789</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广州银行红棉添盈均衡24个月定开1号理财产品托管专户</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center"/>
              <w:textAlignment w:val="bottom"/>
              <w:rPr>
                <w:rFonts w:hint="default" w:ascii="Times New Roman" w:hAnsi="Times New Roman" w:eastAsia="宋体" w:cs="Times New Roman"/>
                <w:color w:val="000000"/>
                <w:kern w:val="0"/>
                <w:sz w:val="18"/>
                <w:szCs w:val="18"/>
                <w:highlight w:val="none"/>
                <w:lang w:bidi="ar"/>
              </w:rPr>
            </w:pPr>
            <w:r>
              <w:rPr>
                <w:rFonts w:hint="default" w:ascii="Times New Roman" w:hAnsi="Times New Roman" w:eastAsia="宋体" w:cs="Times New Roman"/>
                <w:color w:val="000000"/>
                <w:kern w:val="0"/>
                <w:sz w:val="18"/>
                <w:szCs w:val="18"/>
                <w:highlight w:val="none"/>
                <w:lang w:val="en-US" w:eastAsia="zh-CN" w:bidi="ar"/>
              </w:rPr>
              <w:t>中国工商银行股份有限公司广州南方支行</w:t>
            </w:r>
          </w:p>
        </w:tc>
      </w:tr>
    </w:tbl>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（七）产品流动性风险分析</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本产品流动性风险整体可控。我行根据产品产品存续期限，利用长、短久期资产进行产品配置，视市场行情动态调整产品仓位，有效降低了流动性风险。</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本产品运作至今，运作平稳。我行承诺以诚实信用、勤勉尽责的原则管理和运用本产品资产，但不保证产品一定盈利。本产品的过往业绩并不代表其未来表现。投资有风险，敬请投资者留意本产品公告。</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感谢您一直以来对广州银行的支持！</w:t>
      </w: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before="120" w:after="120" w:line="360" w:lineRule="exact"/>
        <w:ind w:firstLine="360"/>
        <w:textAlignment w:val="auto"/>
        <w:rPr>
          <w:rFonts w:hint="default" w:ascii="Times New Roman" w:hAnsi="Times New Roman" w:eastAsia="宋体" w:cs="Times New Roman"/>
          <w:color w:val="000000"/>
          <w:sz w:val="18"/>
          <w:szCs w:val="18"/>
        </w:rPr>
      </w:pPr>
    </w:p>
    <w:p>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广州银行股份有限公司</w:t>
      </w:r>
    </w:p>
    <w:p>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2025年</w:t>
      </w:r>
      <w:r>
        <w:rPr>
          <w:rFonts w:hint="default" w:ascii="Times New Roman" w:hAnsi="Times New Roman" w:eastAsia="宋体" w:cs="Times New Roman"/>
          <w:sz w:val="18"/>
          <w:szCs w:val="18"/>
          <w:lang w:val="en-US" w:eastAsia="zh-CN"/>
        </w:rPr>
        <w:t>7</w:t>
      </w:r>
      <w:r>
        <w:rPr>
          <w:rFonts w:hint="default" w:ascii="Times New Roman" w:hAnsi="Times New Roman" w:eastAsia="宋体" w:cs="Times New Roman"/>
          <w:sz w:val="18"/>
          <w:szCs w:val="18"/>
        </w:rPr>
        <w:t>月</w:t>
      </w:r>
      <w:r>
        <w:rPr>
          <w:rFonts w:hint="default" w:ascii="Times New Roman" w:hAnsi="Times New Roman" w:eastAsia="宋体" w:cs="Times New Roman"/>
          <w:sz w:val="18"/>
          <w:szCs w:val="18"/>
          <w:lang w:val="en-US" w:eastAsia="zh-CN"/>
        </w:rPr>
        <w:t>21</w:t>
      </w:r>
      <w:r>
        <w:rPr>
          <w:rFonts w:hint="default" w:ascii="Times New Roman" w:hAnsi="Times New Roman" w:eastAsia="宋体" w:cs="Times New Roman"/>
          <w:sz w:val="18"/>
          <w:szCs w:val="18"/>
        </w:rPr>
        <w:t>日</w:t>
      </w:r>
    </w:p>
    <w:p>
      <w:pPr>
        <w:ind w:firstLine="360"/>
        <w:rPr>
          <w:rFonts w:hint="default" w:ascii="Times New Roman" w:hAnsi="Times New Roman" w:eastAsia="宋体" w:cs="Times New Roman"/>
          <w:sz w:val="18"/>
          <w:szCs w:val="1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60"/>
      </w:pPr>
      <w:r>
        <w:separator/>
      </w:r>
    </w:p>
  </w:endnote>
  <w:endnote w:type="continuationSeparator" w:id="1">
    <w:p>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360"/>
      </w:pPr>
      <w:r>
        <w:separator/>
      </w:r>
    </w:p>
  </w:footnote>
  <w:footnote w:type="continuationSeparator" w:id="1">
    <w:p>
      <w:pPr>
        <w:spacing w:line="300" w:lineRule="auto"/>
        <w:ind w:firstLine="3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YjU4ZjJjY2EzMDM5Zjk5ZGJkMmY4NDliOGM5MmYifQ=="/>
  </w:docVars>
  <w:rsids>
    <w:rsidRoot w:val="004D52D3"/>
    <w:rsid w:val="001407E4"/>
    <w:rsid w:val="001B4715"/>
    <w:rsid w:val="004D52D3"/>
    <w:rsid w:val="0077496C"/>
    <w:rsid w:val="007C27B8"/>
    <w:rsid w:val="008A1720"/>
    <w:rsid w:val="00AB7A39"/>
    <w:rsid w:val="01AE58D5"/>
    <w:rsid w:val="0239189C"/>
    <w:rsid w:val="02E60066"/>
    <w:rsid w:val="03034B2C"/>
    <w:rsid w:val="033E1042"/>
    <w:rsid w:val="0520397D"/>
    <w:rsid w:val="058977F8"/>
    <w:rsid w:val="0F390DF3"/>
    <w:rsid w:val="0F3F1E29"/>
    <w:rsid w:val="129C0200"/>
    <w:rsid w:val="156825AE"/>
    <w:rsid w:val="16E61161"/>
    <w:rsid w:val="17BE768B"/>
    <w:rsid w:val="19497EA9"/>
    <w:rsid w:val="1B333985"/>
    <w:rsid w:val="1DC449F9"/>
    <w:rsid w:val="1F0A3D6A"/>
    <w:rsid w:val="1FC43482"/>
    <w:rsid w:val="21B91832"/>
    <w:rsid w:val="2AD36B13"/>
    <w:rsid w:val="2DCE5007"/>
    <w:rsid w:val="2EA5279B"/>
    <w:rsid w:val="2F7A4CC8"/>
    <w:rsid w:val="32940287"/>
    <w:rsid w:val="339907CE"/>
    <w:rsid w:val="349A3209"/>
    <w:rsid w:val="34C94D5B"/>
    <w:rsid w:val="39024015"/>
    <w:rsid w:val="3A156715"/>
    <w:rsid w:val="3E1511E9"/>
    <w:rsid w:val="3E2648D0"/>
    <w:rsid w:val="41780A3B"/>
    <w:rsid w:val="42D62C89"/>
    <w:rsid w:val="47A161FD"/>
    <w:rsid w:val="489402DF"/>
    <w:rsid w:val="4A274F12"/>
    <w:rsid w:val="51634F17"/>
    <w:rsid w:val="53DC30D6"/>
    <w:rsid w:val="54917B3F"/>
    <w:rsid w:val="54AF79BD"/>
    <w:rsid w:val="556F11AB"/>
    <w:rsid w:val="580C6034"/>
    <w:rsid w:val="59AB7E51"/>
    <w:rsid w:val="5A0A422E"/>
    <w:rsid w:val="605E017C"/>
    <w:rsid w:val="61373C0E"/>
    <w:rsid w:val="628277C2"/>
    <w:rsid w:val="62E63934"/>
    <w:rsid w:val="659A46F1"/>
    <w:rsid w:val="65CD5D2C"/>
    <w:rsid w:val="69046F5A"/>
    <w:rsid w:val="79805C52"/>
    <w:rsid w:val="7E267674"/>
    <w:rsid w:val="7F96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420" w:firstLineChars="200"/>
      <w:jc w:val="both"/>
    </w:pPr>
    <w:rPr>
      <w:rFonts w:ascii="Calibri" w:hAnsi="Calibri" w:eastAsia="宋体" w:cs="Times New Roman"/>
      <w:kern w:val="2"/>
      <w:sz w:val="18"/>
      <w:szCs w:val="24"/>
      <w:lang w:val="en-US" w:eastAsia="zh-CN" w:bidi="ar-SA"/>
    </w:rPr>
  </w:style>
  <w:style w:type="paragraph" w:styleId="2">
    <w:name w:val="heading 1"/>
    <w:basedOn w:val="1"/>
    <w:next w:val="1"/>
    <w:link w:val="6"/>
    <w:qFormat/>
    <w:uiPriority w:val="0"/>
    <w:pPr>
      <w:keepNext/>
      <w:keepLines/>
      <w:spacing w:before="340" w:after="330" w:line="576" w:lineRule="auto"/>
      <w:jc w:val="center"/>
      <w:outlineLvl w:val="0"/>
    </w:pPr>
    <w:rPr>
      <w:b/>
      <w:kern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customStyle="1" w:styleId="6">
    <w:name w:val="标题 1 字符"/>
    <w:link w:val="2"/>
    <w:qFormat/>
    <w:uiPriority w:val="0"/>
    <w:rPr>
      <w:rFonts w:ascii="Calibri" w:hAnsi="Calibri" w:eastAsia="宋体" w:cs="Times New Roman"/>
      <w:b/>
      <w:kern w:val="44"/>
      <w:sz w:val="18"/>
    </w:rPr>
  </w:style>
  <w:style w:type="paragraph" w:customStyle="1" w:styleId="7">
    <w:name w:val="标题（一）"/>
    <w:basedOn w:val="1"/>
    <w:qFormat/>
    <w:uiPriority w:val="0"/>
    <w:pPr>
      <w:widowControl/>
      <w:spacing w:before="120" w:after="120" w:line="360" w:lineRule="atLeast"/>
      <w:ind w:left="420" w:leftChars="200" w:firstLine="0" w:firstLineChars="0"/>
      <w:jc w:val="left"/>
      <w:outlineLvl w:val="0"/>
    </w:pPr>
    <w:rPr>
      <w:rFonts w:hint="eastAsia" w:ascii="宋体" w:hAnsi="宋体"/>
      <w:color w:val="000000" w:themeColor="text1"/>
      <w:kern w:val="0"/>
      <w:szCs w:val="18"/>
      <w14:textFill>
        <w14:solidFill>
          <w14:schemeClr w14:val="tx1"/>
        </w14:solidFill>
      </w14:textFill>
    </w:rPr>
  </w:style>
  <w:style w:type="paragraph" w:customStyle="1" w:styleId="8">
    <w:name w:val="表格"/>
    <w:basedOn w:val="1"/>
    <w:qFormat/>
    <w:uiPriority w:val="0"/>
    <w:pPr>
      <w:ind w:firstLine="0" w:firstLineChars="0"/>
      <w:jc w:val="left"/>
    </w:pPr>
    <w:rPr>
      <w:rFonts w:hint="eastAsia" w:ascii="宋体" w:hAnsi="宋体" w:cs="宋体"/>
      <w:color w:val="000000"/>
      <w:szCs w:val="18"/>
    </w:rPr>
  </w:style>
  <w:style w:type="table" w:customStyle="1" w:styleId="9">
    <w:name w:val="dqbgxx"/>
    <w:basedOn w:val="4"/>
    <w:qFormat/>
    <w:uiPriority w:val="99"/>
    <w:pPr>
      <w:spacing w:line="288" w:lineRule="auto"/>
      <w:jc w:val="center"/>
    </w:pPr>
    <w:rPr>
      <w:rFonts w:eastAsia="黑体"/>
      <w:color w:val="000000"/>
      <w:sz w:val="22"/>
    </w:rPr>
    <w:tblPr>
      <w:tblBorders>
        <w:top w:val="single" w:color="auto" w:sz="4" w:space="0"/>
        <w:bottom w:val="single" w:color="auto" w:sz="4" w:space="0"/>
        <w:insideH w:val="single" w:color="auto" w:sz="4" w:space="0"/>
        <w:insideV w:val="single" w:color="auto" w:sz="4" w:space="0"/>
      </w:tblBorders>
    </w:tblPr>
    <w:tcPr>
      <w:vAlign w:val="center"/>
    </w:tcPr>
    <w:tblStylePr w:type="firstRow">
      <w:rPr>
        <w:rFonts w:eastAsia="黑体"/>
        <w:b/>
        <w:sz w:val="22"/>
      </w:rPr>
    </w:tblStylePr>
    <w:tblStylePr w:type="firstCol">
      <w:rPr>
        <w:rFonts w:eastAsia="黑体"/>
        <w:b/>
      </w:rPr>
    </w:tblStylePr>
  </w:style>
  <w:style w:type="paragraph" w:customStyle="1" w:styleId="10">
    <w:name w:val="结尾"/>
    <w:basedOn w:val="1"/>
    <w:qFormat/>
    <w:uiPriority w:val="0"/>
    <w:pPr>
      <w:widowControl/>
      <w:spacing w:before="120" w:after="120" w:line="360" w:lineRule="atLeast"/>
      <w:ind w:firstLine="0" w:firstLineChars="0"/>
      <w:jc w:val="center"/>
      <w:outlineLvl w:val="0"/>
    </w:pPr>
    <w:rPr>
      <w:rFonts w:hint="eastAsia" w:ascii="宋体" w:hAnsi="宋体"/>
      <w:kern w:val="0"/>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2216</Words>
  <Characters>2641</Characters>
  <Lines>10</Lines>
  <Paragraphs>2</Paragraphs>
  <TotalTime>38</TotalTime>
  <ScaleCrop>false</ScaleCrop>
  <LinksUpToDate>false</LinksUpToDate>
  <CharactersWithSpaces>2649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w_wangweihua</dc:creator>
  <cp:lastModifiedBy>Echo</cp:lastModifiedBy>
  <dcterms:modified xsi:type="dcterms:W3CDTF">2025-07-17T01:28:03Z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C3F43FF7464F42C0BFEAA36D5DC2CFFE</vt:lpwstr>
  </property>
</Properties>
</file>