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4B014"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 w:val="18"/>
          <w:szCs w:val="18"/>
        </w:rPr>
        <w:t>广州银行红棉添盈均衡理财产品（封闭式）（TYJH23F006）2025年二季度运作报告</w:t>
      </w:r>
    </w:p>
    <w:p w14:paraId="75AB2F99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 w14:paraId="2AD4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 w14:paraId="6B2DFA78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6197" w:type="dxa"/>
          </w:tcPr>
          <w:p w14:paraId="1010CDE5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广州银行红棉添盈均衡理财产品（封闭式）</w:t>
            </w:r>
          </w:p>
        </w:tc>
      </w:tr>
      <w:tr w14:paraId="5321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4866C50E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产品代码</w:t>
            </w:r>
          </w:p>
        </w:tc>
        <w:tc>
          <w:tcPr>
            <w:tcW w:w="6197" w:type="dxa"/>
          </w:tcPr>
          <w:p w14:paraId="00CEB869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TYJH23F006</w:t>
            </w:r>
          </w:p>
        </w:tc>
      </w:tr>
      <w:tr w14:paraId="228A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265E6590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 w14:paraId="0368E6D9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C1082723000140</w:t>
            </w:r>
          </w:p>
        </w:tc>
      </w:tr>
      <w:tr w14:paraId="3440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1D9B573D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产品运作方式</w:t>
            </w:r>
          </w:p>
        </w:tc>
        <w:tc>
          <w:tcPr>
            <w:tcW w:w="6197" w:type="dxa"/>
          </w:tcPr>
          <w:p w14:paraId="69127A7D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封闭式净值型</w:t>
            </w:r>
          </w:p>
        </w:tc>
      </w:tr>
      <w:tr w14:paraId="1192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03EE28F2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产品收益类型</w:t>
            </w:r>
          </w:p>
        </w:tc>
        <w:tc>
          <w:tcPr>
            <w:tcW w:w="6197" w:type="dxa"/>
          </w:tcPr>
          <w:p w14:paraId="0997C305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非保本浮动收益</w:t>
            </w:r>
          </w:p>
        </w:tc>
      </w:tr>
      <w:tr w14:paraId="4B81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48C6DBF8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产品类型</w:t>
            </w:r>
          </w:p>
        </w:tc>
        <w:tc>
          <w:tcPr>
            <w:tcW w:w="6197" w:type="dxa"/>
          </w:tcPr>
          <w:p w14:paraId="43513E0A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固定收益类</w:t>
            </w:r>
          </w:p>
        </w:tc>
      </w:tr>
      <w:tr w14:paraId="060C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3573E4EE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发行方式</w:t>
            </w:r>
          </w:p>
        </w:tc>
        <w:tc>
          <w:tcPr>
            <w:tcW w:w="6197" w:type="dxa"/>
          </w:tcPr>
          <w:p w14:paraId="0D290FDB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公募</w:t>
            </w:r>
          </w:p>
        </w:tc>
      </w:tr>
      <w:tr w14:paraId="2EAA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 w14:paraId="21766253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业绩比较基准</w:t>
            </w:r>
          </w:p>
        </w:tc>
        <w:tc>
          <w:tcPr>
            <w:tcW w:w="6197" w:type="dxa"/>
          </w:tcPr>
          <w:p w14:paraId="1DFEE553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3.40%-4.50%。业绩比较基准不构成广州银行对理财产品的任何收益承诺，仅作为计提业绩报酬的依据。</w:t>
            </w:r>
          </w:p>
        </w:tc>
      </w:tr>
      <w:tr w14:paraId="57F6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1DC16B21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 w14:paraId="0C9AEE6E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2024年04月02日</w:t>
            </w:r>
          </w:p>
        </w:tc>
      </w:tr>
      <w:tr w14:paraId="1907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1DD2F535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 w14:paraId="6ACEE9FF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2025年10月14日</w:t>
            </w:r>
          </w:p>
        </w:tc>
      </w:tr>
      <w:tr w14:paraId="45A0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5C635A4F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产品管理人</w:t>
            </w:r>
          </w:p>
        </w:tc>
        <w:tc>
          <w:tcPr>
            <w:tcW w:w="6197" w:type="dxa"/>
          </w:tcPr>
          <w:p w14:paraId="1BE96EF3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广州银行股份有限公司</w:t>
            </w:r>
          </w:p>
        </w:tc>
      </w:tr>
      <w:tr w14:paraId="5DAD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1ECB1DC6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产品托管人</w:t>
            </w:r>
          </w:p>
        </w:tc>
        <w:tc>
          <w:tcPr>
            <w:tcW w:w="6197" w:type="dxa"/>
          </w:tcPr>
          <w:p w14:paraId="4BBF8A70"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中国工商银行股份有限公司</w:t>
            </w:r>
          </w:p>
        </w:tc>
      </w:tr>
    </w:tbl>
    <w:p w14:paraId="5DB8C7EE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二、产品表现</w:t>
      </w:r>
    </w:p>
    <w:p w14:paraId="7E86F442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 w14:paraId="5D08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 w14:paraId="59A9DF6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bookmarkStart w:id="0" w:name="_Hlk202513083"/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产品代码</w:t>
            </w:r>
          </w:p>
        </w:tc>
        <w:tc>
          <w:tcPr>
            <w:tcW w:w="1560" w:type="dxa"/>
            <w:vAlign w:val="center"/>
          </w:tcPr>
          <w:p w14:paraId="2EECE3E8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销售代码</w:t>
            </w:r>
          </w:p>
        </w:tc>
        <w:tc>
          <w:tcPr>
            <w:tcW w:w="1134" w:type="dxa"/>
            <w:vAlign w:val="center"/>
          </w:tcPr>
          <w:p w14:paraId="6DBF3F7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估值日期</w:t>
            </w:r>
          </w:p>
        </w:tc>
        <w:tc>
          <w:tcPr>
            <w:tcW w:w="1565" w:type="dxa"/>
            <w:vAlign w:val="center"/>
          </w:tcPr>
          <w:p w14:paraId="088A30B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份额</w:t>
            </w:r>
          </w:p>
        </w:tc>
        <w:tc>
          <w:tcPr>
            <w:tcW w:w="1134" w:type="dxa"/>
            <w:vAlign w:val="center"/>
          </w:tcPr>
          <w:p w14:paraId="01C1595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单位净值</w:t>
            </w:r>
          </w:p>
        </w:tc>
        <w:tc>
          <w:tcPr>
            <w:tcW w:w="1134" w:type="dxa"/>
            <w:vAlign w:val="center"/>
          </w:tcPr>
          <w:p w14:paraId="5A9532C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1C1B426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资产净值（元）</w:t>
            </w:r>
          </w:p>
        </w:tc>
        <w:tc>
          <w:tcPr>
            <w:tcW w:w="1347" w:type="dxa"/>
          </w:tcPr>
          <w:p w14:paraId="25FE98F8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  <w:t>成立以来年化收益率（%）</w:t>
            </w:r>
          </w:p>
        </w:tc>
      </w:tr>
      <w:tr w14:paraId="2BA7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0500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TYJH23F006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AD7B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TYJH23F006A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57EF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842BC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13,084,948.00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056A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11A5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1.0453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DFB5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13,677,900.10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03C8B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3.63</w:t>
            </w:r>
          </w:p>
        </w:tc>
      </w:tr>
      <w:tr w14:paraId="3AA0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E91C1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605B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TYJH23F006B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D14D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094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630,000.00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2205F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1.0466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D101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1.0466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C69C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659,370.37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3D083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3.74</w:t>
            </w:r>
          </w:p>
        </w:tc>
      </w:tr>
      <w:bookmarkEnd w:id="0"/>
    </w:tbl>
    <w:p w14:paraId="6FA16730"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注：报告期末本产品杠杆率为10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8.83</w:t>
      </w:r>
      <w:r>
        <w:rPr>
          <w:rFonts w:hint="default" w:ascii="Times New Roman" w:hAnsi="Times New Roman" w:eastAsia="宋体" w:cs="Times New Roman"/>
          <w:sz w:val="18"/>
          <w:szCs w:val="18"/>
        </w:rPr>
        <w:t>%</w:t>
      </w:r>
    </w:p>
    <w:p w14:paraId="680822CA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（二）产品投资资产种类</w:t>
      </w:r>
    </w:p>
    <w:p w14:paraId="7F1B50B9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截止2025年6月末，本产品的投资状况如下：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 w14:paraId="1A168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47CD75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5F05A7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282F3B1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穿透前资产金额</w:t>
            </w:r>
          </w:p>
          <w:p w14:paraId="66AE7F6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2D9312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占组合总资产</w:t>
            </w:r>
          </w:p>
          <w:p w14:paraId="19049C5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A2D8F3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穿透后资产金额</w:t>
            </w:r>
          </w:p>
          <w:p w14:paraId="6955560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F2110A1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占组合总资产</w:t>
            </w:r>
          </w:p>
          <w:p w14:paraId="6D05545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比例</w:t>
            </w:r>
          </w:p>
        </w:tc>
      </w:tr>
      <w:tr w14:paraId="6AEC4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DDAB65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0576160"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B3AA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254.75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E4528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17.72%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996D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1,502.74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D15DD4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96.26%</w:t>
            </w:r>
          </w:p>
        </w:tc>
      </w:tr>
      <w:tr w14:paraId="27FD3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361E5B7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DB7D680"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B6A01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213.46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9589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14.85%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EC19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1,458.83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43375F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93.45%</w:t>
            </w:r>
          </w:p>
        </w:tc>
      </w:tr>
      <w:tr w14:paraId="6A824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CDDD75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43D6F04"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16B2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41.30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BF08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2.87%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4D8A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43.91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E289C0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2.81%</w:t>
            </w:r>
          </w:p>
        </w:tc>
      </w:tr>
      <w:tr w14:paraId="5815A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F86C23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5375190"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E29D3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619A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ED65D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CD2C59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</w:tr>
      <w:tr w14:paraId="2F515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29D8E0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A11E9F0"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879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18FB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1F0C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78A4A7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</w:tr>
      <w:tr w14:paraId="1EE3E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64AC2F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222172A"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DAE7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58.37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EBBB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4.06%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F0F8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58.37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39B438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3.74%</w:t>
            </w:r>
          </w:p>
        </w:tc>
      </w:tr>
      <w:tr w14:paraId="43FBB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8F9B05F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A2B096A"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005F6F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1,124.23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F9E04D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78.22%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36981C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F13707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</w:tr>
    </w:tbl>
    <w:p w14:paraId="083316BB"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注：占比结果保留两位小数，可能存在尾差。</w:t>
      </w:r>
    </w:p>
    <w:p w14:paraId="40C0528F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（三）前十大资产持仓情况</w:t>
      </w:r>
    </w:p>
    <w:p w14:paraId="7EEF0FDA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截止2025年6月末，本产品的前十大资产持仓情况如下：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 w14:paraId="43D31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536A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CED5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EED5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7CC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占比</w:t>
            </w:r>
          </w:p>
        </w:tc>
      </w:tr>
      <w:tr w14:paraId="107CEC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859D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3E0B33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创金合信恒利88号集合资产管理计划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AB77C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1,124.23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BC479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78.41%</w:t>
            </w:r>
          </w:p>
        </w:tc>
      </w:tr>
      <w:tr w14:paraId="54436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A04B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24D7C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22重庆银行永续债01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E9E51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109.06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2BDA8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7.61%</w:t>
            </w:r>
          </w:p>
        </w:tc>
      </w:tr>
      <w:tr w14:paraId="0434A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BE48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1ECDA8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23鹤山02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AAD77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104.40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C1832D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7.28%</w:t>
            </w:r>
          </w:p>
        </w:tc>
      </w:tr>
      <w:tr w14:paraId="0AD54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5894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DA9E8D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A2123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37.68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45F5A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2.63%</w:t>
            </w:r>
          </w:p>
        </w:tc>
      </w:tr>
      <w:tr w14:paraId="056DA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0E4F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B3162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7F9241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11.11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4AB6D1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0.77%</w:t>
            </w:r>
          </w:p>
        </w:tc>
      </w:tr>
      <w:tr w14:paraId="706855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669D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FE47BF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92B87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8C479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0.65%</w:t>
            </w:r>
          </w:p>
        </w:tc>
      </w:tr>
      <w:tr w14:paraId="7E26B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640E3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0D9A2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华安易富黄金ETF联接C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EA605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9.11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16D4F1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0.64%</w:t>
            </w:r>
          </w:p>
        </w:tc>
      </w:tr>
      <w:tr w14:paraId="5DB03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42CC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625788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嘉实科技创新混合型证券投资基金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37AF3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8.12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0991A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0.57%</w:t>
            </w:r>
          </w:p>
        </w:tc>
      </w:tr>
      <w:tr w14:paraId="54202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AC89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B4AFD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易方达沪深300ETF联接C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F533F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76DCBB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0.28%</w:t>
            </w:r>
          </w:p>
        </w:tc>
      </w:tr>
      <w:tr w14:paraId="538EF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7133C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ED2A0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华夏平稳增长混合型证券投资基金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0E6FF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3E221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0.27%</w:t>
            </w:r>
          </w:p>
        </w:tc>
      </w:tr>
    </w:tbl>
    <w:p w14:paraId="0C89EDB5"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注：占比结果保留两位小数，可能存在尾差。</w:t>
      </w:r>
    </w:p>
    <w:p w14:paraId="2F560711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 w14:paraId="1C328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DCD3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D47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6978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1C07F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2301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35FF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6C3EB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风险情况</w:t>
            </w:r>
          </w:p>
        </w:tc>
      </w:tr>
      <w:tr w14:paraId="703541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C8488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331C9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99E2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3DC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094F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3AE4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7A1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</w:tbl>
    <w:p w14:paraId="10B2F676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18"/>
          <w:szCs w:val="18"/>
        </w:rPr>
        <w:t>）报告期内关联交易情况</w:t>
      </w:r>
    </w:p>
    <w:p w14:paraId="49E3D1AD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1.本产品在报告期内全部关联交易均按照公允价格开展，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产品持有关联方发行或承销的证券情况如下：</w:t>
      </w:r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 w14:paraId="2103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62AE378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 w14:paraId="314CB426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 w14:paraId="48E98AC5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 w14:paraId="1008C498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 w14:paraId="14D49442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 w14:paraId="0CE7CD4E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 w14:paraId="7C89482A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关联方角色</w:t>
            </w:r>
          </w:p>
        </w:tc>
      </w:tr>
      <w:tr w14:paraId="5469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45903F46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 w14:paraId="5FE496D7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易方达沪深300ETF联接C</w:t>
            </w:r>
          </w:p>
        </w:tc>
        <w:tc>
          <w:tcPr>
            <w:tcW w:w="1038" w:type="dxa"/>
            <w:vAlign w:val="center"/>
          </w:tcPr>
          <w:p w14:paraId="75A67398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基金类资产</w:t>
            </w:r>
          </w:p>
        </w:tc>
        <w:tc>
          <w:tcPr>
            <w:tcW w:w="1038" w:type="dxa"/>
            <w:vAlign w:val="center"/>
          </w:tcPr>
          <w:p w14:paraId="6C3CAEBD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257 </w:t>
            </w:r>
          </w:p>
        </w:tc>
        <w:tc>
          <w:tcPr>
            <w:tcW w:w="1038" w:type="dxa"/>
            <w:vAlign w:val="center"/>
          </w:tcPr>
          <w:p w14:paraId="0D8050F0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3.97 </w:t>
            </w:r>
          </w:p>
        </w:tc>
        <w:tc>
          <w:tcPr>
            <w:tcW w:w="1220" w:type="dxa"/>
            <w:vAlign w:val="center"/>
          </w:tcPr>
          <w:p w14:paraId="3E166F21"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易方达基金管理有限公司</w:t>
            </w:r>
          </w:p>
        </w:tc>
        <w:tc>
          <w:tcPr>
            <w:tcW w:w="1170" w:type="dxa"/>
            <w:vAlign w:val="center"/>
          </w:tcPr>
          <w:p w14:paraId="3F727085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  <w:t>管理人</w:t>
            </w:r>
            <w:bookmarkStart w:id="1" w:name="_GoBack"/>
            <w:bookmarkEnd w:id="1"/>
          </w:p>
        </w:tc>
      </w:tr>
    </w:tbl>
    <w:p w14:paraId="6AAD817E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2.其他重大关联交易</w:t>
      </w:r>
    </w:p>
    <w:p w14:paraId="2D7E84A0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 w14:paraId="5A0D8511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 w14:paraId="67A60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8BEC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3EE3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7569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47BC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E940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 w14:paraId="0C5F0F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32C7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D624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8361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8888600000029942311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5EDB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穗广州银行TYJH23F006ENF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A3F0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 w14:paraId="5E7C8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 w14:paraId="42A19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本产品流动性风险整体可控。我行根据产品产品存续期限，利用长、短久期资产进行产品配置，视市场行情动态调整产品仓位，有效降低了流动性风险。</w:t>
      </w:r>
    </w:p>
    <w:p w14:paraId="50337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 w14:paraId="2333B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 w14:paraId="2F910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30D6B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75907CA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 w14:paraId="45BE7B5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 w14:paraId="5E5BC1E3">
      <w:pPr>
        <w:ind w:firstLine="0" w:firstLineChars="0"/>
        <w:rPr>
          <w:rFonts w:hint="default" w:ascii="Times New Roman" w:hAnsi="Times New Roman" w:eastAsia="宋体"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</w:docVars>
  <w:rsids>
    <w:rsidRoot w:val="005376EF"/>
    <w:rsid w:val="0031745E"/>
    <w:rsid w:val="003B4AE9"/>
    <w:rsid w:val="003E63A1"/>
    <w:rsid w:val="005376EF"/>
    <w:rsid w:val="00561878"/>
    <w:rsid w:val="0062532F"/>
    <w:rsid w:val="008A1720"/>
    <w:rsid w:val="00C066A1"/>
    <w:rsid w:val="00C274A8"/>
    <w:rsid w:val="00FD7221"/>
    <w:rsid w:val="010A2F75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8867BA1"/>
    <w:rsid w:val="18B96A7C"/>
    <w:rsid w:val="1C7E4CB0"/>
    <w:rsid w:val="1FC43482"/>
    <w:rsid w:val="27242053"/>
    <w:rsid w:val="31EA1881"/>
    <w:rsid w:val="32940287"/>
    <w:rsid w:val="3A156715"/>
    <w:rsid w:val="3B1C7EAD"/>
    <w:rsid w:val="3E7D4EE4"/>
    <w:rsid w:val="40DC4766"/>
    <w:rsid w:val="47E12818"/>
    <w:rsid w:val="4A1E7F2C"/>
    <w:rsid w:val="4BEF2903"/>
    <w:rsid w:val="4D7008F4"/>
    <w:rsid w:val="4DCD08AD"/>
    <w:rsid w:val="57703809"/>
    <w:rsid w:val="621E4B15"/>
    <w:rsid w:val="628277C2"/>
    <w:rsid w:val="63AA01DC"/>
    <w:rsid w:val="659A46F1"/>
    <w:rsid w:val="65CD5D2C"/>
    <w:rsid w:val="67D8058A"/>
    <w:rsid w:val="6C2F3EF9"/>
    <w:rsid w:val="7325566E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1101</Words>
  <Characters>1529</Characters>
  <Lines>10</Lines>
  <Paragraphs>2</Paragraphs>
  <TotalTime>0</TotalTime>
  <ScaleCrop>false</ScaleCrop>
  <LinksUpToDate>false</LinksUpToDate>
  <CharactersWithSpaces>1529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gcb</cp:lastModifiedBy>
  <dcterms:modified xsi:type="dcterms:W3CDTF">2025-07-16T09:49:56Z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305AAB0DD7D840459BE4281E5A829C5D</vt:lpwstr>
  </property>
</Properties>
</file>